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615"/>
        <w:gridCol w:w="9900"/>
        <w:gridCol w:w="1890"/>
      </w:tblGrid>
      <w:tr w:rsidR="00CB79A1" w:rsidRPr="005B27CA" w:rsidTr="00916A1F">
        <w:trPr>
          <w:trHeight w:val="620"/>
        </w:trPr>
        <w:tc>
          <w:tcPr>
            <w:tcW w:w="13405" w:type="dxa"/>
            <w:gridSpan w:val="3"/>
            <w:vAlign w:val="center"/>
          </w:tcPr>
          <w:p w:rsidR="00CB79A1" w:rsidRPr="005B27CA" w:rsidRDefault="003D7623" w:rsidP="00DB5DE5">
            <w:pPr>
              <w:pStyle w:val="Header"/>
              <w:jc w:val="center"/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</w:pPr>
            <w:r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  <w:t>July 5</w:t>
            </w:r>
            <w:r w:rsidRPr="003D7623">
              <w:rPr>
                <w:rFonts w:cstheme="minorHAnsi"/>
                <w:b/>
                <w:color w:val="833C0B" w:themeColor="accent2" w:themeShade="80"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  <w:t xml:space="preserve"> 2019</w:t>
            </w:r>
          </w:p>
        </w:tc>
      </w:tr>
      <w:tr w:rsidR="00CB79A1" w:rsidRPr="005B27CA" w:rsidTr="00916A1F">
        <w:trPr>
          <w:trHeight w:val="284"/>
        </w:trPr>
        <w:tc>
          <w:tcPr>
            <w:tcW w:w="1615" w:type="dxa"/>
            <w:shd w:val="clear" w:color="auto" w:fill="E7E6E6" w:themeFill="background2"/>
            <w:vAlign w:val="center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Time block</w:t>
            </w:r>
          </w:p>
        </w:tc>
        <w:tc>
          <w:tcPr>
            <w:tcW w:w="9900" w:type="dxa"/>
            <w:shd w:val="clear" w:color="auto" w:fill="E7E6E6" w:themeFill="background2"/>
            <w:vAlign w:val="center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Headline</w:t>
            </w:r>
            <w:proofErr w:type="spellEnd"/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Presenter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and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facilitator</w:t>
            </w:r>
            <w:proofErr w:type="spellEnd"/>
          </w:p>
        </w:tc>
      </w:tr>
      <w:tr w:rsidR="00CB79A1" w:rsidRPr="005B27CA" w:rsidTr="00916A1F">
        <w:trPr>
          <w:trHeight w:val="1043"/>
        </w:trPr>
        <w:tc>
          <w:tcPr>
            <w:tcW w:w="13405" w:type="dxa"/>
            <w:gridSpan w:val="3"/>
            <w:vAlign w:val="center"/>
          </w:tcPr>
          <w:p w:rsidR="00CB79A1" w:rsidRPr="000C2409" w:rsidRDefault="00CB79A1" w:rsidP="00CB79A1">
            <w:pPr>
              <w:shd w:val="clear" w:color="auto" w:fill="FFFFFF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2"/>
              </w:rPr>
            </w:pPr>
            <w:r w:rsidRPr="00CB79A1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  <w:t>Regional Session on School age children and adolescents’ Nutrition in Europe and Central Asia</w:t>
            </w:r>
          </w:p>
          <w:p w:rsidR="00951DB1" w:rsidRDefault="008A548F" w:rsidP="003D7623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bookmarkStart w:id="0" w:name="_GoBack"/>
            <w:bookmarkEnd w:id="0"/>
            <w:r w:rsidRPr="00214D69">
              <w:rPr>
                <w:rFonts w:asciiTheme="minorHAnsi" w:hAnsiTheme="minorHAnsi" w:cstheme="minorHAnsi"/>
                <w:szCs w:val="22"/>
                <w:u w:val="single"/>
              </w:rPr>
              <w:t xml:space="preserve">Participants: </w:t>
            </w:r>
            <w:r w:rsidR="00CB79A1" w:rsidRPr="00DA3847">
              <w:rPr>
                <w:rFonts w:asciiTheme="minorHAnsi" w:hAnsiTheme="minorHAnsi" w:cstheme="minorHAnsi"/>
                <w:szCs w:val="22"/>
                <w:highlight w:val="yellow"/>
                <w:u w:val="single"/>
              </w:rPr>
              <w:t xml:space="preserve">Albania, </w:t>
            </w:r>
            <w:r w:rsidR="00CB79A1" w:rsidRPr="0037084E">
              <w:rPr>
                <w:rFonts w:asciiTheme="minorHAnsi" w:hAnsiTheme="minorHAnsi" w:cstheme="minorHAnsi"/>
                <w:szCs w:val="22"/>
                <w:highlight w:val="green"/>
                <w:u w:val="single"/>
              </w:rPr>
              <w:t>Armenia, Bosnia, Georgia</w:t>
            </w:r>
            <w:r w:rsidR="00CB79A1" w:rsidRPr="00DA3847">
              <w:rPr>
                <w:rFonts w:asciiTheme="minorHAnsi" w:hAnsiTheme="minorHAnsi" w:cstheme="minorHAnsi"/>
                <w:szCs w:val="22"/>
                <w:highlight w:val="yellow"/>
                <w:u w:val="single"/>
              </w:rPr>
              <w:t xml:space="preserve">, Kosovo, Macedonia and </w:t>
            </w:r>
            <w:r w:rsidR="00CB79A1" w:rsidRPr="0037084E">
              <w:rPr>
                <w:rFonts w:asciiTheme="minorHAnsi" w:hAnsiTheme="minorHAnsi" w:cstheme="minorHAnsi"/>
                <w:szCs w:val="22"/>
                <w:highlight w:val="green"/>
                <w:u w:val="single"/>
              </w:rPr>
              <w:t>Moldova</w:t>
            </w:r>
            <w:r w:rsidR="000921C8" w:rsidRPr="00307830">
              <w:rPr>
                <w:rFonts w:asciiTheme="minorHAnsi" w:hAnsiTheme="minorHAnsi" w:cstheme="minorHAnsi"/>
                <w:szCs w:val="22"/>
                <w:highlight w:val="yellow"/>
              </w:rPr>
              <w:t xml:space="preserve">, </w:t>
            </w:r>
          </w:p>
          <w:p w:rsidR="00CB79A1" w:rsidRPr="003D7623" w:rsidRDefault="000921C8" w:rsidP="003D762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37084E">
              <w:rPr>
                <w:rFonts w:asciiTheme="minorHAnsi" w:hAnsiTheme="minorHAnsi" w:cstheme="minorHAnsi"/>
                <w:szCs w:val="22"/>
                <w:highlight w:val="green"/>
              </w:rPr>
              <w:t>Kazakhstan, Montenegro</w:t>
            </w:r>
            <w:r w:rsidRPr="00214D69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7764A5">
              <w:rPr>
                <w:rFonts w:asciiTheme="minorHAnsi" w:hAnsiTheme="minorHAnsi" w:cstheme="minorHAnsi"/>
                <w:szCs w:val="22"/>
                <w:highlight w:val="green"/>
              </w:rPr>
              <w:t xml:space="preserve">Serbia </w:t>
            </w:r>
            <w:r w:rsidRPr="00214D69">
              <w:rPr>
                <w:rFonts w:asciiTheme="minorHAnsi" w:hAnsiTheme="minorHAnsi" w:cstheme="minorHAnsi"/>
                <w:szCs w:val="22"/>
              </w:rPr>
              <w:t xml:space="preserve">and </w:t>
            </w:r>
            <w:r w:rsidRPr="007764A5">
              <w:rPr>
                <w:rFonts w:asciiTheme="minorHAnsi" w:hAnsiTheme="minorHAnsi" w:cstheme="minorHAnsi"/>
                <w:szCs w:val="22"/>
                <w:highlight w:val="green"/>
              </w:rPr>
              <w:t>Ukraine</w:t>
            </w:r>
            <w:r w:rsidR="00307830" w:rsidRPr="007764A5">
              <w:rPr>
                <w:rFonts w:asciiTheme="minorHAnsi" w:hAnsiTheme="minorHAnsi" w:cstheme="minorHAnsi"/>
                <w:szCs w:val="22"/>
                <w:highlight w:val="green"/>
              </w:rPr>
              <w:t xml:space="preserve"> </w:t>
            </w:r>
            <w:r w:rsidR="00DA3847" w:rsidRPr="00214D69">
              <w:rPr>
                <w:rFonts w:asciiTheme="minorHAnsi" w:hAnsiTheme="minorHAnsi" w:cstheme="minorHAnsi"/>
                <w:szCs w:val="22"/>
              </w:rPr>
              <w:t>(7+3)</w:t>
            </w:r>
          </w:p>
          <w:p w:rsidR="000921C8" w:rsidRPr="00951DB1" w:rsidRDefault="000921C8" w:rsidP="00DB5DE5">
            <w:pPr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18"/>
                <w:szCs w:val="18"/>
              </w:rPr>
            </w:pPr>
          </w:p>
          <w:p w:rsidR="00CB79A1" w:rsidRPr="005B27CA" w:rsidRDefault="00CB79A1" w:rsidP="00DB5DE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B27CA">
              <w:rPr>
                <w:rFonts w:asciiTheme="minorHAnsi" w:hAnsiTheme="minorHAnsi" w:cstheme="minorHAnsi"/>
                <w:b/>
                <w:szCs w:val="22"/>
              </w:rPr>
              <w:t>Objective of the session;</w:t>
            </w:r>
            <w:r w:rsidRPr="005B27C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3D7623">
              <w:rPr>
                <w:rFonts w:asciiTheme="minorHAnsi" w:hAnsiTheme="minorHAnsi" w:cstheme="minorHAnsi"/>
                <w:bCs/>
                <w:szCs w:val="22"/>
              </w:rPr>
              <w:t xml:space="preserve">To provide </w:t>
            </w:r>
            <w:r w:rsidRPr="003D7623">
              <w:rPr>
                <w:rFonts w:asciiTheme="minorHAnsi" w:hAnsiTheme="minorHAnsi" w:cstheme="minorHAnsi"/>
                <w:szCs w:val="22"/>
              </w:rPr>
              <w:t>guidance and direction to priority countries in ECA to operationalize harmonized and sustainable policies and programs to prevent the double burden of malnutrition among school age children and adolescents</w:t>
            </w:r>
          </w:p>
        </w:tc>
      </w:tr>
      <w:tr w:rsidR="00CB79A1" w:rsidRPr="005B27CA" w:rsidTr="00916A1F">
        <w:trPr>
          <w:trHeight w:val="284"/>
        </w:trPr>
        <w:tc>
          <w:tcPr>
            <w:tcW w:w="13405" w:type="dxa"/>
            <w:gridSpan w:val="3"/>
            <w:vAlign w:val="center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Chairs &amp; Moderators TBD</w:t>
            </w:r>
          </w:p>
        </w:tc>
      </w:tr>
      <w:tr w:rsidR="00CB79A1" w:rsidRPr="005B27CA" w:rsidTr="00916A1F">
        <w:trPr>
          <w:trHeight w:val="719"/>
        </w:trPr>
        <w:tc>
          <w:tcPr>
            <w:tcW w:w="1615" w:type="dxa"/>
            <w:vAlign w:val="center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9:00-</w:t>
            </w:r>
            <w:r w:rsidR="00307830">
              <w:rPr>
                <w:rFonts w:asciiTheme="minorHAnsi" w:hAnsiTheme="minorHAnsi" w:cstheme="minorHAnsi"/>
                <w:szCs w:val="22"/>
                <w:lang w:val="es-ES"/>
              </w:rPr>
              <w:t>9:45</w:t>
            </w:r>
          </w:p>
        </w:tc>
        <w:tc>
          <w:tcPr>
            <w:tcW w:w="9900" w:type="dxa"/>
            <w:vAlign w:val="center"/>
          </w:tcPr>
          <w:p w:rsidR="00CB79A1" w:rsidRPr="00CB79A1" w:rsidRDefault="00CB79A1" w:rsidP="00CB79A1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Theme="minorHAnsi" w:hAnsiTheme="minorHAnsi" w:cstheme="minorHAnsi"/>
              </w:rPr>
            </w:pPr>
            <w:r w:rsidRPr="00CB79A1">
              <w:rPr>
                <w:rFonts w:asciiTheme="minorHAnsi" w:hAnsiTheme="minorHAnsi" w:cstheme="minorHAnsi"/>
              </w:rPr>
              <w:t>Session Objectives and expectations</w:t>
            </w:r>
          </w:p>
          <w:p w:rsidR="00CB79A1" w:rsidRPr="00CB79A1" w:rsidRDefault="00CB79A1" w:rsidP="00CB79A1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Theme="minorHAnsi" w:hAnsiTheme="minorHAnsi" w:cstheme="minorHAnsi"/>
              </w:rPr>
            </w:pPr>
            <w:r w:rsidRPr="00CB79A1">
              <w:rPr>
                <w:rFonts w:asciiTheme="minorHAnsi" w:hAnsiTheme="minorHAnsi" w:cstheme="minorHAnsi"/>
              </w:rPr>
              <w:t xml:space="preserve">Global </w:t>
            </w:r>
            <w:r w:rsidR="000921C8">
              <w:rPr>
                <w:rFonts w:asciiTheme="minorHAnsi" w:hAnsiTheme="minorHAnsi" w:cstheme="minorHAnsi"/>
              </w:rPr>
              <w:t>situation of SAC and adolescents’ nutrition (from regions with more similarity to ECAR)</w:t>
            </w:r>
          </w:p>
          <w:p w:rsidR="000921C8" w:rsidRPr="000921C8" w:rsidRDefault="00CB79A1" w:rsidP="000921C8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Theme="minorHAnsi" w:hAnsiTheme="minorHAnsi" w:cstheme="minorHAnsi"/>
              </w:rPr>
            </w:pPr>
            <w:r w:rsidRPr="00CB79A1">
              <w:rPr>
                <w:rFonts w:asciiTheme="minorHAnsi" w:hAnsiTheme="minorHAnsi" w:cstheme="minorHAnsi"/>
              </w:rPr>
              <w:t>Regional perspective on nutritional status of SAC and Adolescents in the Region- Systematic review progress</w:t>
            </w:r>
          </w:p>
        </w:tc>
        <w:tc>
          <w:tcPr>
            <w:tcW w:w="1890" w:type="dxa"/>
            <w:vAlign w:val="center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CB79A1" w:rsidRPr="005B27CA" w:rsidTr="00916A1F">
        <w:trPr>
          <w:trHeight w:val="503"/>
        </w:trPr>
        <w:tc>
          <w:tcPr>
            <w:tcW w:w="1615" w:type="dxa"/>
            <w:vAlign w:val="center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9:45-</w:t>
            </w:r>
            <w:r w:rsidR="00951DB1">
              <w:rPr>
                <w:rFonts w:asciiTheme="minorHAnsi" w:hAnsiTheme="minorHAnsi" w:cstheme="minorHAnsi"/>
                <w:szCs w:val="22"/>
                <w:lang w:val="es-ES"/>
              </w:rPr>
              <w:t>10:30</w:t>
            </w:r>
          </w:p>
        </w:tc>
        <w:tc>
          <w:tcPr>
            <w:tcW w:w="9900" w:type="dxa"/>
            <w:vAlign w:val="center"/>
          </w:tcPr>
          <w:p w:rsidR="00CB79A1" w:rsidRDefault="000921C8" w:rsidP="00DB5DE5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Global guidance on nutrition of SAC </w:t>
            </w:r>
            <w:r w:rsidR="003D7623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nd adolescents (the main highlights)</w:t>
            </w:r>
            <w:r w:rsidR="003D7623">
              <w:rPr>
                <w:rFonts w:asciiTheme="minorHAnsi" w:hAnsiTheme="minorHAnsi" w:cstheme="minorHAnsi"/>
              </w:rPr>
              <w:t>:</w:t>
            </w:r>
          </w:p>
          <w:p w:rsidR="000921C8" w:rsidRPr="00951DB1" w:rsidRDefault="000921C8" w:rsidP="00DB5DE5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12"/>
                <w:szCs w:val="8"/>
              </w:rPr>
            </w:pPr>
          </w:p>
          <w:p w:rsidR="000921C8" w:rsidRPr="000921C8" w:rsidRDefault="000921C8" w:rsidP="000921C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921C8">
              <w:rPr>
                <w:rFonts w:asciiTheme="minorHAnsi" w:hAnsiTheme="minorHAnsi" w:cstheme="minorHAnsi"/>
              </w:rPr>
              <w:t>Strengthen the enabling environment through policies</w:t>
            </w:r>
            <w:r w:rsidR="003D7623">
              <w:rPr>
                <w:rFonts w:asciiTheme="minorHAnsi" w:hAnsiTheme="minorHAnsi" w:cstheme="minorHAnsi"/>
              </w:rPr>
              <w:t>/ legislations</w:t>
            </w:r>
            <w:r w:rsidRPr="000921C8">
              <w:rPr>
                <w:rFonts w:asciiTheme="minorHAnsi" w:hAnsiTheme="minorHAnsi" w:cstheme="minorHAnsi"/>
              </w:rPr>
              <w:t xml:space="preserve"> to improve food environments; Evidence, importance and implementation</w:t>
            </w:r>
            <w:r w:rsidR="003D7623">
              <w:rPr>
                <w:rFonts w:asciiTheme="minorHAnsi" w:hAnsiTheme="minorHAnsi" w:cstheme="minorHAnsi"/>
              </w:rPr>
              <w:t xml:space="preserve"> (food systems for schools)</w:t>
            </w:r>
          </w:p>
          <w:p w:rsidR="000921C8" w:rsidRPr="000921C8" w:rsidRDefault="000921C8" w:rsidP="000921C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921C8">
              <w:rPr>
                <w:rFonts w:asciiTheme="minorHAnsi" w:hAnsiTheme="minorHAnsi" w:cstheme="minorHAnsi"/>
              </w:rPr>
              <w:t>Promotion of health</w:t>
            </w:r>
            <w:r w:rsidR="003D7623">
              <w:rPr>
                <w:rFonts w:asciiTheme="minorHAnsi" w:hAnsiTheme="minorHAnsi" w:cstheme="minorHAnsi"/>
              </w:rPr>
              <w:t>y diets and nutrition education (using Education delivery system)</w:t>
            </w:r>
            <w:r w:rsidRPr="000921C8">
              <w:rPr>
                <w:rFonts w:asciiTheme="minorHAnsi" w:hAnsiTheme="minorHAnsi" w:cstheme="minorHAnsi"/>
              </w:rPr>
              <w:t xml:space="preserve"> </w:t>
            </w:r>
          </w:p>
          <w:p w:rsidR="000921C8" w:rsidRPr="000921C8" w:rsidRDefault="000921C8" w:rsidP="000921C8">
            <w:pPr>
              <w:pStyle w:val="ListParagraph"/>
              <w:rPr>
                <w:rFonts w:asciiTheme="minorHAnsi" w:hAnsiTheme="minorHAnsi" w:cstheme="minorHAnsi"/>
              </w:rPr>
            </w:pPr>
            <w:r w:rsidRPr="005B27CA">
              <w:rPr>
                <w:rFonts w:asciiTheme="minorHAnsi" w:hAnsiTheme="minorHAnsi" w:cstheme="minorHAnsi"/>
              </w:rPr>
              <w:t>Evidence, importance and implementation</w:t>
            </w:r>
          </w:p>
          <w:p w:rsidR="000921C8" w:rsidRPr="000921C8" w:rsidRDefault="003D7623" w:rsidP="000921C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to use other</w:t>
            </w:r>
            <w:r w:rsidR="000921C8" w:rsidRPr="000921C8">
              <w:rPr>
                <w:rFonts w:asciiTheme="minorHAnsi" w:hAnsiTheme="minorHAnsi" w:cstheme="minorHAnsi"/>
              </w:rPr>
              <w:t xml:space="preserve"> delivery systems to </w:t>
            </w:r>
            <w:r>
              <w:rPr>
                <w:rFonts w:asciiTheme="minorHAnsi" w:hAnsiTheme="minorHAnsi" w:cstheme="minorHAnsi"/>
              </w:rPr>
              <w:t>multiple burden of</w:t>
            </w:r>
            <w:r w:rsidR="000921C8" w:rsidRPr="000921C8">
              <w:rPr>
                <w:rFonts w:asciiTheme="minorHAnsi" w:hAnsiTheme="minorHAnsi" w:cstheme="minorHAnsi"/>
              </w:rPr>
              <w:t xml:space="preserve"> malnutrition (Health, </w:t>
            </w:r>
            <w:r>
              <w:rPr>
                <w:rFonts w:asciiTheme="minorHAnsi" w:hAnsiTheme="minorHAnsi" w:cstheme="minorHAnsi"/>
              </w:rPr>
              <w:t>and</w:t>
            </w:r>
            <w:r w:rsidR="000921C8" w:rsidRPr="000921C8">
              <w:rPr>
                <w:rFonts w:asciiTheme="minorHAnsi" w:hAnsiTheme="minorHAnsi" w:cstheme="minorHAnsi"/>
              </w:rPr>
              <w:t xml:space="preserve"> </w:t>
            </w:r>
            <w:r w:rsidR="00E50E55">
              <w:rPr>
                <w:rFonts w:asciiTheme="minorHAnsi" w:hAnsiTheme="minorHAnsi" w:cstheme="minorHAnsi"/>
              </w:rPr>
              <w:t>social protection systems</w:t>
            </w:r>
            <w:r w:rsidR="000921C8" w:rsidRPr="000921C8">
              <w:rPr>
                <w:rFonts w:asciiTheme="minorHAnsi" w:hAnsiTheme="minorHAnsi" w:cstheme="minorHAnsi"/>
              </w:rPr>
              <w:t>). Evidence, importance and implementation</w:t>
            </w:r>
          </w:p>
          <w:p w:rsidR="00CB79A1" w:rsidRPr="005B27CA" w:rsidRDefault="00CB79A1" w:rsidP="000921C8">
            <w:pPr>
              <w:spacing w:line="20" w:lineRule="atLeast"/>
              <w:contextualSpacing/>
              <w:rPr>
                <w:rFonts w:asciiTheme="minorHAnsi" w:hAnsiTheme="minorHAnsi" w:cstheme="minorHAnsi"/>
                <w:bCs/>
                <w:kern w:val="20"/>
              </w:rPr>
            </w:pPr>
          </w:p>
        </w:tc>
        <w:tc>
          <w:tcPr>
            <w:tcW w:w="1890" w:type="dxa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</w:pPr>
          </w:p>
        </w:tc>
      </w:tr>
      <w:tr w:rsidR="00307830" w:rsidRPr="005B27CA" w:rsidTr="00916A1F">
        <w:trPr>
          <w:trHeight w:val="503"/>
        </w:trPr>
        <w:tc>
          <w:tcPr>
            <w:tcW w:w="1615" w:type="dxa"/>
            <w:vAlign w:val="center"/>
          </w:tcPr>
          <w:p w:rsidR="00307830" w:rsidRPr="005B27CA" w:rsidRDefault="00951DB1" w:rsidP="00DB5DE5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10:30-10:45</w:t>
            </w:r>
          </w:p>
        </w:tc>
        <w:tc>
          <w:tcPr>
            <w:tcW w:w="9900" w:type="dxa"/>
            <w:vAlign w:val="center"/>
          </w:tcPr>
          <w:p w:rsidR="00307830" w:rsidRPr="003D7623" w:rsidRDefault="00307830" w:rsidP="003D7623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Coffee break and bilateral meetings</w:t>
            </w:r>
          </w:p>
        </w:tc>
        <w:tc>
          <w:tcPr>
            <w:tcW w:w="1890" w:type="dxa"/>
          </w:tcPr>
          <w:p w:rsidR="00307830" w:rsidRPr="005B27CA" w:rsidRDefault="00307830" w:rsidP="00DB5DE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CB79A1" w:rsidRPr="005B27CA" w:rsidTr="00916A1F">
        <w:trPr>
          <w:trHeight w:val="503"/>
        </w:trPr>
        <w:tc>
          <w:tcPr>
            <w:tcW w:w="1615" w:type="dxa"/>
            <w:vAlign w:val="center"/>
          </w:tcPr>
          <w:p w:rsidR="00CB79A1" w:rsidRPr="005B27CA" w:rsidRDefault="00951DB1" w:rsidP="00DB5DE5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 xml:space="preserve">10:45- </w:t>
            </w:r>
            <w:r w:rsidR="00705A6D">
              <w:rPr>
                <w:rFonts w:asciiTheme="minorHAnsi" w:hAnsiTheme="minorHAnsi" w:cstheme="minorHAnsi"/>
                <w:szCs w:val="22"/>
                <w:lang w:val="es-ES"/>
              </w:rPr>
              <w:t>12:30</w:t>
            </w:r>
          </w:p>
        </w:tc>
        <w:tc>
          <w:tcPr>
            <w:tcW w:w="9900" w:type="dxa"/>
            <w:vAlign w:val="center"/>
          </w:tcPr>
          <w:p w:rsidR="00CB79A1" w:rsidRPr="003D7623" w:rsidRDefault="003D7623" w:rsidP="003D7623">
            <w:pPr>
              <w:pStyle w:val="ListParagraph"/>
              <w:rPr>
                <w:rFonts w:asciiTheme="minorHAnsi" w:hAnsiTheme="minorHAnsi" w:cstheme="minorHAnsi"/>
              </w:rPr>
            </w:pPr>
            <w:r w:rsidRPr="003D7623">
              <w:rPr>
                <w:rFonts w:asciiTheme="minorHAnsi" w:hAnsiTheme="minorHAnsi" w:cstheme="minorHAnsi"/>
              </w:rPr>
              <w:t>Experience sharing and updates from C</w:t>
            </w:r>
            <w:r>
              <w:rPr>
                <w:rFonts w:asciiTheme="minorHAnsi" w:hAnsiTheme="minorHAnsi" w:cstheme="minorHAnsi"/>
              </w:rPr>
              <w:t>O</w:t>
            </w:r>
            <w:r w:rsidRPr="003D762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(the GTF countries with envelop on SAC nutrition)</w:t>
            </w:r>
          </w:p>
          <w:p w:rsidR="003D7623" w:rsidRPr="003D7623" w:rsidRDefault="003D7623" w:rsidP="003D7623">
            <w:pPr>
              <w:pStyle w:val="ListParagraph"/>
              <w:rPr>
                <w:rFonts w:asciiTheme="minorHAnsi" w:hAnsiTheme="minorHAnsi" w:cstheme="minorHAnsi"/>
              </w:rPr>
            </w:pPr>
            <w:r w:rsidRPr="003D7623">
              <w:rPr>
                <w:rFonts w:asciiTheme="minorHAnsi" w:hAnsiTheme="minorHAnsi" w:cstheme="minorHAnsi"/>
              </w:rPr>
              <w:t>Implementation space for UNICEF on Nutrition of SAC, factors affecting this</w:t>
            </w:r>
          </w:p>
        </w:tc>
        <w:tc>
          <w:tcPr>
            <w:tcW w:w="1890" w:type="dxa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</w:pPr>
          </w:p>
        </w:tc>
      </w:tr>
      <w:tr w:rsidR="00CB79A1" w:rsidRPr="005B27CA" w:rsidTr="00916A1F">
        <w:trPr>
          <w:trHeight w:val="413"/>
        </w:trPr>
        <w:tc>
          <w:tcPr>
            <w:tcW w:w="1615" w:type="dxa"/>
            <w:vAlign w:val="center"/>
          </w:tcPr>
          <w:p w:rsidR="00CB79A1" w:rsidRPr="005B27CA" w:rsidRDefault="00705A6D" w:rsidP="00DB5DE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12:30-13:</w:t>
            </w:r>
            <w:r w:rsidR="00916A1F">
              <w:rPr>
                <w:rFonts w:asciiTheme="minorHAnsi" w:hAnsiTheme="minorHAnsi" w:cstheme="minorHAnsi"/>
                <w:szCs w:val="22"/>
                <w:lang w:val="en-US"/>
              </w:rPr>
              <w:t>30</w:t>
            </w:r>
          </w:p>
        </w:tc>
        <w:tc>
          <w:tcPr>
            <w:tcW w:w="9900" w:type="dxa"/>
            <w:vAlign w:val="center"/>
          </w:tcPr>
          <w:p w:rsidR="00CB79A1" w:rsidRPr="005B27CA" w:rsidRDefault="00705A6D" w:rsidP="00DB5DE5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Lunch and bilateral meetings</w:t>
            </w:r>
          </w:p>
        </w:tc>
        <w:tc>
          <w:tcPr>
            <w:tcW w:w="1890" w:type="dxa"/>
            <w:vAlign w:val="center"/>
          </w:tcPr>
          <w:p w:rsidR="00CB79A1" w:rsidRPr="005B27CA" w:rsidRDefault="00CB79A1" w:rsidP="00DB5DE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</w:p>
        </w:tc>
      </w:tr>
      <w:tr w:rsidR="00916A1F" w:rsidRPr="005B27CA" w:rsidTr="00916A1F">
        <w:trPr>
          <w:trHeight w:val="413"/>
        </w:trPr>
        <w:tc>
          <w:tcPr>
            <w:tcW w:w="1615" w:type="dxa"/>
            <w:vAlign w:val="center"/>
          </w:tcPr>
          <w:p w:rsidR="00916A1F" w:rsidRDefault="00916A1F" w:rsidP="008A548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lastRenderedPageBreak/>
              <w:t>13:30-14:00</w:t>
            </w:r>
          </w:p>
        </w:tc>
        <w:tc>
          <w:tcPr>
            <w:tcW w:w="9900" w:type="dxa"/>
            <w:vAlign w:val="center"/>
          </w:tcPr>
          <w:p w:rsidR="00916A1F" w:rsidRPr="00916A1F" w:rsidRDefault="00916A1F" w:rsidP="00916A1F">
            <w:pPr>
              <w:pStyle w:val="ListParagraph"/>
              <w:rPr>
                <w:rFonts w:asciiTheme="minorHAnsi" w:hAnsiTheme="minorHAnsi" w:cstheme="minorHAnsi"/>
              </w:rPr>
            </w:pPr>
            <w:r w:rsidRPr="003D7623">
              <w:rPr>
                <w:rFonts w:asciiTheme="minorHAnsi" w:hAnsiTheme="minorHAnsi" w:cstheme="minorHAnsi"/>
              </w:rPr>
              <w:t>Experience sharing and updates from C</w:t>
            </w:r>
            <w:r>
              <w:rPr>
                <w:rFonts w:asciiTheme="minorHAnsi" w:hAnsiTheme="minorHAnsi" w:cstheme="minorHAnsi"/>
              </w:rPr>
              <w:t>O</w:t>
            </w:r>
            <w:r w:rsidRPr="003D762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(the GTF countries with envelop on SAC nutrition)</w:t>
            </w:r>
          </w:p>
        </w:tc>
        <w:tc>
          <w:tcPr>
            <w:tcW w:w="1890" w:type="dxa"/>
            <w:vAlign w:val="center"/>
          </w:tcPr>
          <w:p w:rsidR="00916A1F" w:rsidRPr="005B27CA" w:rsidRDefault="00916A1F" w:rsidP="008A548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8A548F" w:rsidRPr="005B27CA" w:rsidTr="00916A1F">
        <w:trPr>
          <w:trHeight w:val="413"/>
        </w:trPr>
        <w:tc>
          <w:tcPr>
            <w:tcW w:w="1615" w:type="dxa"/>
            <w:vAlign w:val="center"/>
          </w:tcPr>
          <w:p w:rsidR="008A548F" w:rsidRPr="005B27CA" w:rsidRDefault="008A548F" w:rsidP="008A548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14:00-15:30</w:t>
            </w:r>
          </w:p>
        </w:tc>
        <w:tc>
          <w:tcPr>
            <w:tcW w:w="9900" w:type="dxa"/>
            <w:vAlign w:val="center"/>
          </w:tcPr>
          <w:p w:rsidR="008A548F" w:rsidRPr="00307830" w:rsidRDefault="008A548F" w:rsidP="008A548F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307830">
              <w:rPr>
                <w:rFonts w:asciiTheme="minorHAnsi" w:hAnsiTheme="minorHAnsi" w:cstheme="minorHAnsi"/>
                <w:b/>
                <w:bCs/>
              </w:rPr>
              <w:t>Country specific self-reflation or group work:</w:t>
            </w:r>
          </w:p>
          <w:p w:rsidR="008A548F" w:rsidRPr="00307830" w:rsidRDefault="008A548F" w:rsidP="008A548F">
            <w:pPr>
              <w:pStyle w:val="ListParagraph"/>
              <w:numPr>
                <w:ilvl w:val="0"/>
                <w:numId w:val="4"/>
              </w:numPr>
              <w:spacing w:line="20" w:lineRule="atLeast"/>
              <w:rPr>
                <w:rFonts w:asciiTheme="minorHAnsi" w:hAnsiTheme="minorHAnsi" w:cstheme="minorHAnsi"/>
              </w:rPr>
            </w:pPr>
            <w:r w:rsidRPr="00307830">
              <w:rPr>
                <w:rFonts w:asciiTheme="minorHAnsi" w:hAnsiTheme="minorHAnsi" w:cstheme="minorHAnsi"/>
              </w:rPr>
              <w:t>GTF COs: Draft CO roadmap on agreed action areas for GTF proposal 2019-2021 (and 3 commitments for 2019-2021)</w:t>
            </w:r>
          </w:p>
          <w:p w:rsidR="008A548F" w:rsidRPr="00307830" w:rsidRDefault="008A548F" w:rsidP="008A548F">
            <w:pPr>
              <w:pStyle w:val="ListParagraph"/>
              <w:numPr>
                <w:ilvl w:val="0"/>
                <w:numId w:val="4"/>
              </w:numPr>
              <w:spacing w:line="20" w:lineRule="atLeast"/>
              <w:rPr>
                <w:rFonts w:asciiTheme="minorHAnsi" w:hAnsiTheme="minorHAnsi" w:cstheme="minorHAnsi"/>
              </w:rPr>
            </w:pPr>
            <w:r w:rsidRPr="00307830">
              <w:rPr>
                <w:rFonts w:asciiTheme="minorHAnsi" w:hAnsiTheme="minorHAnsi" w:cstheme="minorHAnsi"/>
              </w:rPr>
              <w:t>Other COs: Priority actions among the agreed action areas and tentative roadmap</w:t>
            </w:r>
          </w:p>
        </w:tc>
        <w:tc>
          <w:tcPr>
            <w:tcW w:w="1890" w:type="dxa"/>
            <w:vAlign w:val="center"/>
          </w:tcPr>
          <w:p w:rsidR="008A548F" w:rsidRPr="005B27CA" w:rsidRDefault="008A548F" w:rsidP="008A548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8A548F" w:rsidRPr="005B27CA" w:rsidTr="00916A1F">
        <w:trPr>
          <w:trHeight w:val="413"/>
        </w:trPr>
        <w:tc>
          <w:tcPr>
            <w:tcW w:w="1615" w:type="dxa"/>
            <w:vAlign w:val="center"/>
          </w:tcPr>
          <w:p w:rsidR="008A548F" w:rsidRPr="005B27CA" w:rsidRDefault="008A548F" w:rsidP="008A548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15:30-17:00</w:t>
            </w:r>
          </w:p>
        </w:tc>
        <w:tc>
          <w:tcPr>
            <w:tcW w:w="9900" w:type="dxa"/>
            <w:vAlign w:val="center"/>
          </w:tcPr>
          <w:p w:rsidR="008A548F" w:rsidRDefault="008A548F" w:rsidP="008A548F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szCs w:val="22"/>
                <w:lang w:val="en-US"/>
              </w:rPr>
              <w:t>Plenary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- Presentation of group work by sub-region on priority actions</w:t>
            </w:r>
          </w:p>
          <w:p w:rsidR="008A548F" w:rsidRDefault="00916A1F" w:rsidP="008A548F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Plenary- </w:t>
            </w:r>
            <w:r w:rsidR="008A548F">
              <w:rPr>
                <w:rFonts w:asciiTheme="minorHAnsi" w:hAnsiTheme="minorHAnsi" w:cstheme="minorHAnsi"/>
              </w:rPr>
              <w:t>Identifying and consensus building on top 3-5 regional common action areas under each of:</w:t>
            </w:r>
          </w:p>
          <w:p w:rsidR="008A548F" w:rsidRDefault="008A548F" w:rsidP="008A548F">
            <w:pPr>
              <w:pStyle w:val="ListParagraph"/>
              <w:numPr>
                <w:ilvl w:val="0"/>
                <w:numId w:val="3"/>
              </w:numPr>
              <w:spacing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Enabling environment (policy and legislation and regulations)</w:t>
            </w:r>
          </w:p>
          <w:p w:rsidR="008A548F" w:rsidRDefault="008A548F" w:rsidP="008A548F">
            <w:pPr>
              <w:pStyle w:val="ListParagraph"/>
              <w:numPr>
                <w:ilvl w:val="0"/>
                <w:numId w:val="3"/>
              </w:numPr>
              <w:spacing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nutrition education</w:t>
            </w:r>
          </w:p>
          <w:p w:rsidR="008A548F" w:rsidRDefault="008A548F" w:rsidP="008A548F">
            <w:pPr>
              <w:pStyle w:val="ListParagraph"/>
              <w:numPr>
                <w:ilvl w:val="0"/>
                <w:numId w:val="3"/>
              </w:numPr>
              <w:spacing w:line="20" w:lineRule="atLeast"/>
              <w:rPr>
                <w:rFonts w:asciiTheme="minorHAnsi" w:hAnsiTheme="minorHAnsi" w:cstheme="minorHAnsi"/>
              </w:rPr>
            </w:pPr>
            <w:r w:rsidRPr="008A548F">
              <w:rPr>
                <w:rFonts w:asciiTheme="minorHAnsi" w:hAnsiTheme="minorHAnsi" w:cstheme="minorHAnsi"/>
              </w:rPr>
              <w:t>Use of health and community systems</w:t>
            </w:r>
          </w:p>
          <w:p w:rsidR="00916A1F" w:rsidRPr="008A548F" w:rsidRDefault="00916A1F" w:rsidP="008A548F">
            <w:pPr>
              <w:pStyle w:val="ListParagraph"/>
              <w:numPr>
                <w:ilvl w:val="0"/>
                <w:numId w:val="3"/>
              </w:numPr>
              <w:spacing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management, reporting obligations and documentations</w:t>
            </w:r>
          </w:p>
        </w:tc>
        <w:tc>
          <w:tcPr>
            <w:tcW w:w="1890" w:type="dxa"/>
            <w:vAlign w:val="center"/>
          </w:tcPr>
          <w:p w:rsidR="008A548F" w:rsidRPr="005B27CA" w:rsidRDefault="008A548F" w:rsidP="008A548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</w:p>
        </w:tc>
      </w:tr>
      <w:tr w:rsidR="008A548F" w:rsidRPr="005B27CA" w:rsidTr="00916A1F">
        <w:trPr>
          <w:trHeight w:val="413"/>
        </w:trPr>
        <w:tc>
          <w:tcPr>
            <w:tcW w:w="1615" w:type="dxa"/>
            <w:vAlign w:val="center"/>
          </w:tcPr>
          <w:p w:rsidR="008A548F" w:rsidRPr="005B27CA" w:rsidRDefault="008A548F" w:rsidP="008A548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17:00-17:30</w:t>
            </w:r>
          </w:p>
        </w:tc>
        <w:tc>
          <w:tcPr>
            <w:tcW w:w="9900" w:type="dxa"/>
            <w:vAlign w:val="center"/>
          </w:tcPr>
          <w:p w:rsidR="008A548F" w:rsidRPr="005B27CA" w:rsidRDefault="008A548F" w:rsidP="008A548F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</w:rPr>
              <w:t xml:space="preserve">Summarizing the opportunities and </w:t>
            </w:r>
            <w:r>
              <w:rPr>
                <w:rFonts w:asciiTheme="minorHAnsi" w:hAnsiTheme="minorHAnsi" w:cstheme="minorHAnsi"/>
              </w:rPr>
              <w:t>challenges, needs and the way forward</w:t>
            </w:r>
            <w:r w:rsidRPr="005B27C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8A548F" w:rsidRPr="005B27CA" w:rsidRDefault="008A548F" w:rsidP="008A548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</w:p>
        </w:tc>
      </w:tr>
    </w:tbl>
    <w:p w:rsidR="00FF7576" w:rsidRPr="00CB79A1" w:rsidRDefault="00FF7576">
      <w:pPr>
        <w:rPr>
          <w:b/>
          <w:bCs/>
        </w:rPr>
      </w:pPr>
    </w:p>
    <w:sectPr w:rsidR="00FF7576" w:rsidRPr="00CB79A1" w:rsidSect="00CB79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D2F"/>
    <w:multiLevelType w:val="hybridMultilevel"/>
    <w:tmpl w:val="CC92B142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BDB66B7"/>
    <w:multiLevelType w:val="hybridMultilevel"/>
    <w:tmpl w:val="95EADA22"/>
    <w:lvl w:ilvl="0" w:tplc="BDA26288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6C5D7ABA"/>
    <w:multiLevelType w:val="hybridMultilevel"/>
    <w:tmpl w:val="143A592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7B007158"/>
    <w:multiLevelType w:val="hybridMultilevel"/>
    <w:tmpl w:val="F56CFA4C"/>
    <w:lvl w:ilvl="0" w:tplc="701C66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A1"/>
    <w:rsid w:val="000921C8"/>
    <w:rsid w:val="00214D69"/>
    <w:rsid w:val="00307830"/>
    <w:rsid w:val="0037084E"/>
    <w:rsid w:val="003A48AD"/>
    <w:rsid w:val="003D7623"/>
    <w:rsid w:val="0044048B"/>
    <w:rsid w:val="00705A6D"/>
    <w:rsid w:val="007764A5"/>
    <w:rsid w:val="008A548F"/>
    <w:rsid w:val="00916A1F"/>
    <w:rsid w:val="00951DB1"/>
    <w:rsid w:val="00CB79A1"/>
    <w:rsid w:val="00DA3847"/>
    <w:rsid w:val="00E50E55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8A0D"/>
  <w15:chartTrackingRefBased/>
  <w15:docId w15:val="{D6ABF5D1-0721-41FB-9A51-54F271B6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9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9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B79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79A1"/>
    <w:rPr>
      <w:lang w:val="en-GB"/>
    </w:rPr>
  </w:style>
  <w:style w:type="paragraph" w:styleId="ListParagraph">
    <w:name w:val="List Paragraph"/>
    <w:basedOn w:val="Normal"/>
    <w:uiPriority w:val="34"/>
    <w:qFormat/>
    <w:rsid w:val="00CB7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 Yarparvar</dc:creator>
  <cp:keywords/>
  <dc:description/>
  <cp:lastModifiedBy>Amirhossein Yarparvar</cp:lastModifiedBy>
  <cp:revision>2</cp:revision>
  <dcterms:created xsi:type="dcterms:W3CDTF">2019-06-11T05:47:00Z</dcterms:created>
  <dcterms:modified xsi:type="dcterms:W3CDTF">2019-06-11T05:47:00Z</dcterms:modified>
</cp:coreProperties>
</file>